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C5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 w:color="auto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 w:color="auto"/>
          <w:lang w:eastAsia="zh-CN"/>
        </w:rPr>
        <w:t>青岛西海岸新区区情简介</w:t>
      </w:r>
    </w:p>
    <w:p w14:paraId="2444A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u w:val="none" w:color="auto"/>
        </w:rPr>
      </w:pPr>
    </w:p>
    <w:p w14:paraId="3DB43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u w:val="none" w:color="auto"/>
        </w:rPr>
      </w:pPr>
      <w:r>
        <w:rPr>
          <w:rFonts w:hint="eastAsia" w:ascii="仿宋_GB2312" w:eastAsia="仿宋_GB2312"/>
          <w:color w:val="000000"/>
          <w:sz w:val="32"/>
          <w:szCs w:val="32"/>
          <w:u w:val="none" w:color="auto"/>
        </w:rPr>
        <w:t>青岛西海岸新区是2014年6月3日国务院批复设立的第九个国家级新区，获批以来，新区地区生产总值从2013年的2121亿元增长到2023年的5003.4亿元，位列19个国家级新区第三，从超过省内3个地市到超越10个地市，主要经济指标对全市增长贡献度超过30%，成为全国第12个、中国北方除直辖市外唯一一个跻身“五千亿俱乐部”的区。2024年地区生产总值5261.3亿元、增长5.8%；规上工业增加值、社消总额均增长7.5%。聚力“5+5+7”产业集群，高标准建设集成电路、新型显示、绿色低碳新材料、氢能、青岛影视基地等新兴产业专业园区，集聚京东方等总投资3542.6亿元的164个重点项目，新型显示产业入选省战略性新兴产业集群，海信日立工厂新入选全球灯塔工厂。强化科技支撑，拥有“仲华”热物理试验大科学装置等省部级以上创新平台306家、高新技术企业1750家、驻区高校17所、在校师生22.6万人。</w:t>
      </w:r>
    </w:p>
    <w:p w14:paraId="71F56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</w:pPr>
      <w:r>
        <w:rPr>
          <w:rFonts w:hint="eastAsia" w:ascii="黑体" w:hAnsi="黑体" w:eastAsia="黑体"/>
          <w:color w:val="000000"/>
          <w:sz w:val="32"/>
          <w:szCs w:val="32"/>
          <w:u w:val="none" w:color="auto"/>
        </w:rPr>
        <w:t>勇担“国之重任”，打造改革开放新高地。</w:t>
      </w:r>
      <w:r>
        <w:rPr>
          <w:rFonts w:hint="eastAsia" w:ascii="仿宋_GB2312" w:eastAsia="仿宋_GB2312"/>
          <w:color w:val="000000"/>
          <w:sz w:val="32"/>
          <w:szCs w:val="32"/>
          <w:u w:val="none" w:color="auto"/>
        </w:rPr>
        <w:t>获批以来，海洋生产总值年均增长14.9%，总量从2013年的494亿元增长到2023年的1974亿元、翻了</w:t>
      </w:r>
      <w:r>
        <w:rPr>
          <w:rFonts w:hint="eastAsia" w:ascii="仿宋_GB2312" w:eastAsia="仿宋_GB2312"/>
          <w:color w:val="000000"/>
          <w:sz w:val="32"/>
          <w:szCs w:val="32"/>
          <w:u w:val="none" w:color="auto"/>
          <w:lang w:val="en-US" w:eastAsia="zh-CN"/>
        </w:rPr>
        <w:t>两</w:t>
      </w:r>
      <w:r>
        <w:rPr>
          <w:rFonts w:hint="eastAsia" w:ascii="仿宋_GB2312" w:eastAsia="仿宋_GB2312"/>
          <w:color w:val="000000"/>
          <w:sz w:val="32"/>
          <w:szCs w:val="32"/>
          <w:u w:val="none" w:color="auto"/>
        </w:rPr>
        <w:t>番，占新区GDP的比重由21.8%升至39.5％。2024年海洋生产总值预计增长9%，分别占全市、全省、全国总量的41.6%、12.5%、2.2%。积极参与全球海洋治理，高水平举办海洋合作发展论坛，联合国“海洋十年”国际合作中心启用，获批联合国“海洋十年”官方实施伙伴，全球海洋观测伙伴关系首个区域办公室落户，在全球海洋治理体系中发出新区声音；加快构建“1+3+3+1”现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  <w:t>代海洋产业体系，船舶海工、海洋生物医药等重点产业全面起势，中船集团民船中心总部、潍柴（青岛）海洋装备制造中心等一批海洋重点项目加快建设，获批首个国家深远海绿色养殖试验区，创建国家级海洋牧场17处、占全国1/11，开创世界温暖海域三文鱼养殖先河，“海葵一号”等一批海工重器交付运行，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  <w:lang w:eastAsia="zh-CN"/>
        </w:rPr>
        <w:t>中国科学院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  <w:t>海洋大科学研究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 w:color="auto"/>
        </w:rPr>
        <w:t>中心等涉海院所启用。青岛自贸片区加快崛起，106项试点任务全面突破，326项创新案例复制推广，97项创新成果获省级以上认可、推广，获评“中国十大最具投资价值园区”，步入全国自贸试验区第一梯队。体制机制创新深入推进，承接市级以上改革试点187项，260余项改革经验在省级以上层面得到认可推广，党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  <w:t>建引领基层治理工作得到中央组织部、中央政研室、中央改革办高度认可，长期护理险改革经验获中央改革办刊发推</w:t>
      </w:r>
      <w:r>
        <w:rPr>
          <w:rFonts w:hint="eastAsia" w:ascii="仿宋_GB2312" w:hAnsi="黑体" w:eastAsia="仿宋_GB2312"/>
          <w:b w:val="0"/>
          <w:bCs w:val="0"/>
          <w:color w:val="000000"/>
          <w:sz w:val="32"/>
          <w:szCs w:val="32"/>
          <w:u w:val="none" w:color="auto"/>
        </w:rPr>
        <w:t>广。全力推进“双招双引”，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  <w:t>世界500强投资项目348个，经营主体43.1万户，人才总量90万人。</w:t>
      </w:r>
    </w:p>
    <w:p w14:paraId="7F424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u w:val="none" w:color="auto"/>
        </w:rPr>
      </w:pPr>
      <w:r>
        <w:rPr>
          <w:rFonts w:hint="eastAsia" w:ascii="黑体" w:hAnsi="黑体" w:eastAsia="黑体"/>
          <w:color w:val="000000"/>
          <w:sz w:val="32"/>
          <w:szCs w:val="32"/>
          <w:u w:val="none" w:color="auto"/>
        </w:rPr>
        <w:t>提升城乡品质，打造城市建设新标杆。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  <w:t>积极服务国家“双碳”战略，成为全国首批气候投融资试点区，荣获国家生态文明建设示范区，灵山湾获评全国美丽海湾。青盐铁路、地铁13号线、1号线、6号线通车运营，胶州湾二隧加快建设。承办全国城市生活垃圾分类工作现场会，经验全国推广。扎实推进乡村振兴，建成110平方公里的乡村振兴齐鲁样板示范先行区，打造12个乡村振兴产业集聚区、13个乡村振兴示范片区，获批全国农村综合性改革试点。影视之都、音乐之岛、啤酒之城、会展之滨“四张国际名片”闪耀世界，每年举办青岛国际啤酒节等会展活动400场左右，全景秀“海上有青岛”成为青岛文旅新名片，获评</w:t>
      </w:r>
      <w:r>
        <w:rPr>
          <w:rFonts w:hint="eastAsia" w:ascii="仿宋_GB2312" w:eastAsia="仿宋_GB2312"/>
          <w:color w:val="000000"/>
          <w:sz w:val="32"/>
          <w:szCs w:val="32"/>
          <w:u w:val="none" w:color="auto"/>
        </w:rPr>
        <w:t>中国最佳会展名区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  <w:t>。</w:t>
      </w:r>
    </w:p>
    <w:p w14:paraId="74266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</w:pPr>
      <w:r>
        <w:rPr>
          <w:rFonts w:hint="eastAsia" w:ascii="黑体" w:hAnsi="黑体" w:eastAsia="黑体"/>
          <w:color w:val="000000"/>
          <w:sz w:val="32"/>
          <w:szCs w:val="32"/>
          <w:u w:val="none" w:color="auto"/>
        </w:rPr>
        <w:t>锚定共同富裕，打造宜居幸福新典范。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  <w:t>新区获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 w:color="auto"/>
        </w:rPr>
        <w:t>批以来，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  <w:t>新建、改扩建中小学、幼儿园321所，</w:t>
      </w:r>
      <w:r>
        <w:rPr>
          <w:rFonts w:hint="eastAsia" w:ascii="仿宋_GB2312" w:eastAsia="仿宋_GB2312"/>
          <w:color w:val="000000"/>
          <w:sz w:val="32"/>
          <w:szCs w:val="32"/>
          <w:u w:val="none" w:color="auto"/>
        </w:rPr>
        <w:t>新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  <w:t>增学位16万个；青大医学医疗中心等17个高端医疗项目落户，三级医院增至7家，紧密型“健康服务共同体”创出“西海岸模式”；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 w:color="auto"/>
        </w:rPr>
        <w:t>西海岸男女足球队分别成功“冲超”“冲甲”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none" w:color="auto"/>
        </w:rPr>
        <w:t>。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  <w:t>城乡居民人均可支配收入6.3万元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  <w:u w:val="none" w:color="auto"/>
        </w:rPr>
        <w:t>荣获全国最佳促进就业城市。创新社会治理，获评全国创新社会治理优秀城市。</w:t>
      </w:r>
    </w:p>
    <w:p w14:paraId="4EE40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E447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15BC6"/>
    <w:rsid w:val="23FE3883"/>
    <w:rsid w:val="28AD3976"/>
    <w:rsid w:val="360F68C0"/>
    <w:rsid w:val="50674FD3"/>
    <w:rsid w:val="5E86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line="540" w:lineRule="exact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1407</Words>
  <Characters>1546</Characters>
  <Lines>0</Lines>
  <Paragraphs>0</Paragraphs>
  <TotalTime>12</TotalTime>
  <ScaleCrop>false</ScaleCrop>
  <LinksUpToDate>false</LinksUpToDate>
  <CharactersWithSpaces>1546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2025-03-20T11:00:00Z</dcterms:created>
  <dc:creator>Administrator</dc:creator>
  <cp:lastModifiedBy>三吉</cp:lastModifiedBy>
  <dcterms:modified xsi:type="dcterms:W3CDTF">2025-03-21T09:44:09Z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eyJoZGlkIjoiMmM2MWVkODZiMDBkZDIxMWI2YTYwYjcwZWVlYjgwYjUiLCJ1c2VySWQiOiIyNTE1MTYxMjMifQ==</vt:lpwstr>
  </property>
  <property fmtid="{D5CDD505-2E9C-101B-9397-08002B2CF9AE}" pid="4" name="ICV">
    <vt:lpwstr>AFF92E4D676646BEAC20D2CEB9199026_12</vt:lpwstr>
  </property>
</Properties>
</file>